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PT Astra Serif" w:hAnsi="PT Astra Serif" w:cs="Arial" w:eastAsiaTheme="minorEastAsia"/>
          <w:b/>
          <w:color w:val="auto"/>
          <w:lang w:bidi="ar-SA"/>
        </w:rPr>
      </w:pPr>
      <w:r>
        <w:rPr>
          <w:rFonts w:ascii="PT Astra Serif" w:hAnsi="PT Astra Serif" w:cs="Arial" w:eastAsiaTheme="minorEastAsia"/>
          <w:b/>
          <w:color w:val="auto"/>
          <w:lang w:bidi="ar-SA"/>
        </w:rPr>
        <w:t xml:space="preserve">Отчет</w:t>
      </w:r>
      <w:r>
        <w:rPr>
          <w:rFonts w:eastAsiaTheme="minorEastAsia"/>
        </w:rPr>
      </w:r>
    </w:p>
    <w:p>
      <w:pPr>
        <w:jc w:val="center"/>
        <w:rPr>
          <w:rFonts w:ascii="PT Astra Serif" w:hAnsi="PT Astra Serif" w:cs="Arial" w:eastAsiaTheme="minorEastAsia"/>
          <w:b/>
          <w:color w:val="auto"/>
          <w:lang w:bidi="ar-SA"/>
        </w:rPr>
      </w:pPr>
      <w:r>
        <w:rPr>
          <w:rFonts w:ascii="PT Astra Serif" w:hAnsi="PT Astra Serif" w:cs="Arial" w:eastAsiaTheme="minorEastAsia"/>
          <w:b/>
          <w:color w:val="auto"/>
          <w:lang w:bidi="ar-SA"/>
        </w:rPr>
        <w:t xml:space="preserve">о ходе реализации и об оценке эффективности</w:t>
      </w:r>
      <w:r>
        <w:rPr>
          <w:rFonts w:eastAsiaTheme="minorEastAsia"/>
        </w:rPr>
      </w:r>
    </w:p>
    <w:p>
      <w:pPr>
        <w:jc w:val="center"/>
        <w:rPr>
          <w:rFonts w:ascii="PT Astra Serif" w:hAnsi="PT Astra Serif" w:cs="Arial" w:eastAsiaTheme="minorEastAsia"/>
          <w:b/>
          <w:color w:val="auto"/>
          <w:lang w:bidi="ar-SA"/>
        </w:rPr>
      </w:pPr>
      <w:r>
        <w:rPr>
          <w:rFonts w:ascii="PT Astra Serif" w:hAnsi="PT Astra Serif" w:cs="Arial" w:eastAsiaTheme="minorEastAsia"/>
          <w:b/>
          <w:color w:val="auto"/>
          <w:lang w:bidi="ar-SA"/>
        </w:rPr>
        <w:t xml:space="preserve">муниципальной программы</w:t>
      </w:r>
      <w:r>
        <w:rPr>
          <w:rFonts w:eastAsiaTheme="minorEastAsia"/>
        </w:rPr>
      </w:r>
    </w:p>
    <w:p>
      <w:pPr>
        <w:rPr>
          <w:rFonts w:ascii="PT Astra Serif" w:hAnsi="PT Astra Serif" w:cs="Arial" w:eastAsiaTheme="minorEastAsia"/>
          <w:color w:val="auto"/>
          <w:lang w:bidi="ar-SA"/>
        </w:rPr>
      </w:pPr>
      <w:r>
        <w:rPr>
          <w:rFonts w:ascii="PT Astra Serif" w:hAnsi="PT Astra Serif" w:cs="Arial" w:eastAsiaTheme="minorEastAsia"/>
          <w:color w:val="auto"/>
          <w:lang w:bidi="ar-SA"/>
        </w:rPr>
      </w:r>
      <w:r>
        <w:rPr>
          <w:rFonts w:eastAsiaTheme="minorEastAsia"/>
        </w:rPr>
      </w:r>
    </w:p>
    <w:p>
      <w:pPr>
        <w:jc w:val="right"/>
        <w:rPr>
          <w:rFonts w:ascii="PT Astra Serif" w:hAnsi="PT Astra Serif" w:cs="Arial" w:eastAsiaTheme="minorEastAsia"/>
          <w:color w:val="auto"/>
          <w:lang w:bidi="ar-SA"/>
        </w:rPr>
        <w:outlineLvl w:val="2"/>
      </w:pPr>
      <w:r>
        <w:rPr>
          <w:rFonts w:ascii="PT Astra Serif" w:hAnsi="PT Astra Serif" w:cs="Arial" w:eastAsiaTheme="minorEastAsia"/>
          <w:color w:val="auto"/>
          <w:lang w:bidi="ar-SA"/>
        </w:rPr>
        <w:t xml:space="preserve">Таблица 1</w:t>
      </w:r>
      <w:r>
        <w:rPr>
          <w:rFonts w:eastAsiaTheme="minorEastAsia"/>
        </w:rPr>
      </w:r>
    </w:p>
    <w:p>
      <w:pPr>
        <w:jc w:val="center"/>
        <w:rPr>
          <w:rFonts w:ascii="PT Astra Serif" w:hAnsi="PT Astra Serif" w:cs="Arial" w:eastAsiaTheme="minorEastAsia"/>
          <w:color w:val="auto"/>
          <w:lang w:bidi="ar-SA"/>
        </w:rPr>
      </w:pPr>
      <w:r>
        <w:rPr>
          <w:rFonts w:ascii="PT Astra Serif" w:hAnsi="PT Astra Serif" w:cs="Arial" w:eastAsiaTheme="minorEastAsia"/>
          <w:color w:val="auto"/>
          <w:lang w:bidi="ar-SA"/>
        </w:rPr>
        <w:t xml:space="preserve">Отчет</w:t>
      </w:r>
      <w:r>
        <w:rPr>
          <w:rFonts w:eastAsiaTheme="minorEastAsia"/>
        </w:rPr>
      </w:r>
    </w:p>
    <w:p>
      <w:pPr>
        <w:jc w:val="center"/>
        <w:rPr>
          <w:rFonts w:ascii="PT Astra Serif" w:hAnsi="PT Astra Serif" w:cs="Arial" w:eastAsiaTheme="minorEastAsia"/>
          <w:color w:val="auto"/>
          <w:lang w:bidi="ar-SA"/>
        </w:rPr>
      </w:pPr>
      <w:r>
        <w:rPr>
          <w:rFonts w:ascii="PT Astra Serif" w:hAnsi="PT Astra Serif" w:cs="Arial" w:eastAsiaTheme="minorEastAsia"/>
          <w:color w:val="auto"/>
          <w:lang w:bidi="ar-SA"/>
        </w:rPr>
        <w:t xml:space="preserve">Развитие сельского хозяйства </w:t>
      </w:r>
      <w:r>
        <w:rPr>
          <w:rFonts w:ascii="PT Astra Serif" w:hAnsi="PT Astra Serif" w:cs="Arial" w:eastAsiaTheme="minorEastAsia"/>
          <w:color w:val="auto"/>
          <w:lang w:bidi="ar-SA"/>
        </w:rPr>
        <w:t xml:space="preserve">Кимовского</w:t>
      </w:r>
      <w:r>
        <w:rPr>
          <w:rFonts w:ascii="PT Astra Serif" w:hAnsi="PT Astra Serif" w:cs="Arial" w:eastAsiaTheme="minorEastAsia"/>
          <w:color w:val="auto"/>
          <w:lang w:bidi="ar-SA"/>
        </w:rPr>
        <w:t xml:space="preserve"> района</w:t>
      </w:r>
      <w:r>
        <w:rPr>
          <w:rFonts w:eastAsiaTheme="minorEastAsia"/>
        </w:rPr>
      </w:r>
    </w:p>
    <w:p>
      <w:pPr>
        <w:jc w:val="center"/>
        <w:rPr>
          <w:rFonts w:ascii="PT Astra Serif" w:hAnsi="PT Astra Serif" w:cs="Arial" w:eastAsiaTheme="minorEastAsia"/>
          <w:color w:val="auto"/>
          <w:lang w:bidi="ar-SA"/>
        </w:rPr>
      </w:pPr>
      <w:r>
        <w:rPr>
          <w:rFonts w:ascii="PT Astra Serif" w:hAnsi="PT Astra Serif" w:cs="Arial" w:eastAsiaTheme="minorEastAsia"/>
          <w:color w:val="auto"/>
          <w:lang w:bidi="ar-SA"/>
        </w:rPr>
        <w:t xml:space="preserve">(полное наименование муниципальной программы)</w:t>
      </w:r>
      <w:r>
        <w:rPr>
          <w:rFonts w:eastAsiaTheme="minorEastAsia"/>
        </w:rPr>
      </w:r>
    </w:p>
    <w:p>
      <w:pPr>
        <w:jc w:val="center"/>
        <w:rPr>
          <w:rFonts w:ascii="PT Astra Serif" w:hAnsi="PT Astra Serif" w:cs="Arial" w:eastAsiaTheme="minorEastAsia"/>
          <w:color w:val="auto"/>
          <w:lang w:bidi="ar-SA"/>
        </w:rPr>
      </w:pPr>
      <w:r>
        <w:rPr>
          <w:rFonts w:ascii="PT Astra Serif" w:hAnsi="PT Astra Serif" w:cs="Arial" w:eastAsiaTheme="minorEastAsia"/>
          <w:color w:val="auto"/>
          <w:lang w:bidi="ar-SA"/>
        </w:rPr>
        <w:t xml:space="preserve">за  </w:t>
      </w:r>
      <w:r>
        <w:rPr>
          <w:rFonts w:ascii="PT Astra Serif" w:hAnsi="PT Astra Serif" w:cs="Arial" w:eastAsiaTheme="minorEastAsia"/>
          <w:color w:val="auto"/>
          <w:lang w:val="en-US" w:bidi="ar-SA"/>
        </w:rPr>
        <w:t xml:space="preserve">I</w:t>
      </w:r>
      <w:r>
        <w:rPr>
          <w:rFonts w:ascii="PT Astra Serif" w:hAnsi="PT Astra Serif" w:cs="Arial" w:eastAsiaTheme="minorEastAsia"/>
          <w:color w:val="auto"/>
          <w:lang w:bidi="ar-SA"/>
        </w:rPr>
        <w:t xml:space="preserve"> </w:t>
      </w:r>
      <w:r>
        <w:rPr>
          <w:rFonts w:ascii="PT Astra Serif" w:hAnsi="PT Astra Serif" w:cs="Arial" w:eastAsiaTheme="minorEastAsia"/>
          <w:color w:val="auto"/>
          <w:lang w:bidi="ar-SA"/>
        </w:rPr>
        <w:t xml:space="preserve">квартал 2026 года</w:t>
      </w:r>
      <w:r>
        <w:rPr>
          <w:rFonts w:eastAsiaTheme="minorEastAsia"/>
        </w:rPr>
      </w:r>
    </w:p>
    <w:p>
      <w:pPr>
        <w:rPr>
          <w:rFonts w:ascii="PT Astra Serif" w:hAnsi="PT Astra Serif" w:cs="Arial" w:eastAsiaTheme="minorEastAsia"/>
          <w:color w:val="auto"/>
          <w:sz w:val="20"/>
          <w:szCs w:val="22"/>
          <w:lang w:bidi="ar-SA"/>
        </w:rPr>
      </w:pPr>
      <w:r>
        <w:rPr>
          <w:rFonts w:ascii="PT Astra Serif" w:hAnsi="PT Astra Serif" w:cs="Arial" w:eastAsiaTheme="minorEastAsia"/>
          <w:color w:val="auto"/>
          <w:sz w:val="20"/>
          <w:szCs w:val="22"/>
          <w:lang w:bidi="ar-SA"/>
        </w:rPr>
      </w:r>
      <w:r>
        <w:rPr>
          <w:rFonts w:eastAsiaTheme="minorEastAsia"/>
        </w:rPr>
      </w:r>
    </w:p>
    <w:tbl>
      <w:tblPr>
        <w:tblW w:w="0" w:type="auto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624"/>
        <w:gridCol w:w="2324"/>
        <w:gridCol w:w="1587"/>
        <w:gridCol w:w="1481"/>
        <w:gridCol w:w="1559"/>
        <w:gridCol w:w="1496"/>
      </w:tblGrid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2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  <w:t xml:space="preserve">N </w:t>
            </w: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  <w:t xml:space="preserve">п</w:t>
            </w: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  <w:t xml:space="preserve">/</w:t>
            </w: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  <w:t xml:space="preserve">п</w:t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32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  <w:t xml:space="preserve">Структурные элементы (основные мероприятия) муниципальной программы</w:t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8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  <w:t xml:space="preserve">Источники финансирования</w:t>
            </w:r>
            <w:r>
              <w:rPr>
                <w:rFonts w:eastAsiaTheme="minorEastAsia"/>
              </w:rPr>
            </w:r>
          </w:p>
        </w:tc>
        <w:tc>
          <w:tcPr>
            <w:gridSpan w:val="3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536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  <w:t xml:space="preserve">Объем финансовых затрат (тыс. рублей)</w:t>
            </w:r>
            <w:r>
              <w:rPr>
                <w:rFonts w:eastAsiaTheme="minorEastAsia"/>
              </w:rPr>
            </w:r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24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324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87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8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  <w:t xml:space="preserve">По муниципальной программе</w:t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  <w:t xml:space="preserve">Уточненный план</w:t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96" w:type="dxa"/>
            <w:textDirection w:val="lrTb"/>
            <w:noWrap w:val="false"/>
          </w:tcPr>
          <w:p>
            <w:pP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  <w:t xml:space="preserve">Кассовое исполнение</w:t>
            </w:r>
            <w:r>
              <w:rPr>
                <w:rFonts w:eastAsiaTheme="minorEastAsia"/>
              </w:rPr>
            </w:r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24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  <w:t xml:space="preserve">1</w:t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324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  <w:t xml:space="preserve">2</w:t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87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  <w:t xml:space="preserve">3</w:t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81" w:type="dxa"/>
            <w:textDirection w:val="lrTb"/>
            <w:noWrap w:val="false"/>
          </w:tcPr>
          <w:p>
            <w:pP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  <w:t xml:space="preserve">4</w:t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  <w:t xml:space="preserve">5</w:t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96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  <w:t xml:space="preserve">6</w:t>
            </w:r>
            <w:r>
              <w:rPr>
                <w:rFonts w:eastAsiaTheme="minorEastAsia"/>
              </w:rPr>
            </w:r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2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  <w:t xml:space="preserve">1.1</w:t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324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  <w:t xml:space="preserve">Наименование структурного элемента (основного мероприятия) муниципальной программы</w:t>
            </w:r>
            <w:r>
              <w:rPr>
                <w:rFonts w:eastAsiaTheme="minorEastAsia"/>
              </w:rPr>
            </w:r>
          </w:p>
          <w:p>
            <w:pPr>
              <w:jc w:val="both"/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  <w:t xml:space="preserve">Увеличение объемов производства сельскохозяйственной продукции, повышение е</w:t>
            </w: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  <w:t xml:space="preserve">е конкурентоспособности, достижение на этой основе  устойчивого социально-экономического развития. Организация и проведение ежегодного мероприятия, связанного с подведением итогов работы  сельскохозяйственных предприятий, крестьянских (фермерских) хозяйств</w:t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87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  <w:t xml:space="preserve">всего</w:t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81" w:type="dxa"/>
            <w:textDirection w:val="lrTb"/>
            <w:noWrap w:val="false"/>
          </w:tcPr>
          <w:p>
            <w:pP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  <w:t xml:space="preserve">50</w:t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  <w:t xml:space="preserve">50</w:t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96" w:type="dxa"/>
            <w:textDirection w:val="lrTb"/>
            <w:noWrap w:val="false"/>
          </w:tcPr>
          <w:p>
            <w:pP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  <w:t xml:space="preserve">0(факт</w:t>
            </w: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  <w:t xml:space="preserve">.</w:t>
            </w: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  <w:t xml:space="preserve"> </w:t>
            </w: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  <w:t xml:space="preserve">и</w:t>
            </w: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  <w:t xml:space="preserve">сп. </w:t>
            </w: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val="en-US" w:bidi="ar-SA"/>
              </w:rPr>
              <w:t xml:space="preserve">IV </w:t>
            </w: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  <w:t xml:space="preserve">квартал)</w:t>
            </w:r>
            <w:r>
              <w:rPr>
                <w:rFonts w:eastAsiaTheme="minorEastAsia"/>
              </w:rPr>
            </w:r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24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324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87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  <w:t xml:space="preserve">федеральный бюджет</w:t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81" w:type="dxa"/>
            <w:textDirection w:val="lrTb"/>
            <w:noWrap w:val="false"/>
          </w:tcPr>
          <w:p>
            <w:pP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96" w:type="dxa"/>
            <w:textDirection w:val="lrTb"/>
            <w:noWrap w:val="false"/>
          </w:tcPr>
          <w:p>
            <w:pP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r>
            <w:r>
              <w:rPr>
                <w:rFonts w:eastAsiaTheme="minorEastAsia"/>
              </w:rPr>
            </w:r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24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324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87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  <w:t xml:space="preserve">областной бюджет</w:t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81" w:type="dxa"/>
            <w:textDirection w:val="lrTb"/>
            <w:noWrap w:val="false"/>
          </w:tcPr>
          <w:p>
            <w:pP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96" w:type="dxa"/>
            <w:textDirection w:val="lrTb"/>
            <w:noWrap w:val="false"/>
          </w:tcPr>
          <w:p>
            <w:pP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r>
            <w:r>
              <w:rPr>
                <w:rFonts w:eastAsiaTheme="minorEastAsia"/>
              </w:rPr>
            </w:r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24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324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87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  <w:t xml:space="preserve">местный бюджет</w:t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81" w:type="dxa"/>
            <w:textDirection w:val="lrTb"/>
            <w:noWrap w:val="false"/>
          </w:tcPr>
          <w:p>
            <w:pP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96" w:type="dxa"/>
            <w:textDirection w:val="lrTb"/>
            <w:noWrap w:val="false"/>
          </w:tcPr>
          <w:p>
            <w:pP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r>
            <w:r>
              <w:rPr>
                <w:rFonts w:eastAsiaTheme="minorEastAsia"/>
              </w:rPr>
            </w:r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24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324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87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  <w:t xml:space="preserve">иные источники финансирования</w:t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81" w:type="dxa"/>
            <w:textDirection w:val="lrTb"/>
            <w:noWrap w:val="false"/>
          </w:tcPr>
          <w:p>
            <w:pP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96" w:type="dxa"/>
            <w:textDirection w:val="lrTb"/>
            <w:noWrap w:val="false"/>
          </w:tcPr>
          <w:p>
            <w:pP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r>
            <w:r>
              <w:rPr>
                <w:rFonts w:eastAsiaTheme="minorEastAsia"/>
              </w:rPr>
            </w:r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24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324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87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  <w:t xml:space="preserve">местный бюджет</w:t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81" w:type="dxa"/>
            <w:textDirection w:val="lrTb"/>
            <w:noWrap w:val="false"/>
          </w:tcPr>
          <w:p>
            <w:pP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  <w:t xml:space="preserve">50</w:t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  <w:t xml:space="preserve">50</w:t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96" w:type="dxa"/>
            <w:textDirection w:val="lrTb"/>
            <w:noWrap w:val="false"/>
          </w:tcPr>
          <w:p>
            <w:pP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  <w:t xml:space="preserve">0(факт</w:t>
            </w: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  <w:t xml:space="preserve">.</w:t>
            </w: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  <w:t xml:space="preserve"> </w:t>
            </w: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  <w:t xml:space="preserve">и</w:t>
            </w: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  <w:t xml:space="preserve">сп. </w:t>
            </w: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val="en-US" w:bidi="ar-SA"/>
              </w:rPr>
              <w:t xml:space="preserve">IV </w:t>
            </w: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  <w:t xml:space="preserve">квартал)</w:t>
            </w:r>
            <w:r>
              <w:rPr>
                <w:rFonts w:eastAsiaTheme="minorEastAsia"/>
              </w:rPr>
            </w:r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24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324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87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  <w:t xml:space="preserve">иные источники финансирования</w:t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81" w:type="dxa"/>
            <w:textDirection w:val="lrTb"/>
            <w:noWrap w:val="false"/>
          </w:tcPr>
          <w:p>
            <w:pP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96" w:type="dxa"/>
            <w:textDirection w:val="lrTb"/>
            <w:noWrap w:val="false"/>
          </w:tcPr>
          <w:p>
            <w:pP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r>
            <w:r>
              <w:rPr>
                <w:rFonts w:eastAsiaTheme="minorEastAsia"/>
              </w:rPr>
            </w:r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24" w:type="dxa"/>
            <w:vMerge w:val="restart"/>
            <w:textDirection w:val="lrTb"/>
            <w:noWrap w:val="false"/>
          </w:tcPr>
          <w:p>
            <w:pP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324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  <w:t xml:space="preserve">Наименование структурного элемента (основного мероприятия) муниципальной программы</w:t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87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  <w:t xml:space="preserve">всего</w:t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81" w:type="dxa"/>
            <w:textDirection w:val="lrTb"/>
            <w:noWrap w:val="false"/>
          </w:tcPr>
          <w:p>
            <w:pP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96" w:type="dxa"/>
            <w:textDirection w:val="lrTb"/>
            <w:noWrap w:val="false"/>
          </w:tcPr>
          <w:p>
            <w:pP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r>
            <w:r>
              <w:rPr>
                <w:rFonts w:eastAsiaTheme="minorEastAsia"/>
              </w:rPr>
            </w:r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24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324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87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  <w:t xml:space="preserve">федеральный бюджет</w:t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81" w:type="dxa"/>
            <w:textDirection w:val="lrTb"/>
            <w:noWrap w:val="false"/>
          </w:tcPr>
          <w:p>
            <w:pP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96" w:type="dxa"/>
            <w:textDirection w:val="lrTb"/>
            <w:noWrap w:val="false"/>
          </w:tcPr>
          <w:p>
            <w:pP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r>
            <w:r>
              <w:rPr>
                <w:rFonts w:eastAsiaTheme="minorEastAsia"/>
              </w:rPr>
            </w:r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24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324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87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  <w:t xml:space="preserve">областной бюджет</w:t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81" w:type="dxa"/>
            <w:textDirection w:val="lrTb"/>
            <w:noWrap w:val="false"/>
          </w:tcPr>
          <w:p>
            <w:pP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96" w:type="dxa"/>
            <w:textDirection w:val="lrTb"/>
            <w:noWrap w:val="false"/>
          </w:tcPr>
          <w:p>
            <w:pP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r>
            <w:r>
              <w:rPr>
                <w:rFonts w:eastAsiaTheme="minorEastAsia"/>
              </w:rPr>
            </w:r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24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324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87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  <w:t xml:space="preserve">местный бюджет</w:t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81" w:type="dxa"/>
            <w:textDirection w:val="lrTb"/>
            <w:noWrap w:val="false"/>
          </w:tcPr>
          <w:p>
            <w:pP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96" w:type="dxa"/>
            <w:textDirection w:val="lrTb"/>
            <w:noWrap w:val="false"/>
          </w:tcPr>
          <w:p>
            <w:pP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r>
            <w:r>
              <w:rPr>
                <w:rFonts w:eastAsiaTheme="minorEastAsia"/>
              </w:rPr>
            </w:r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24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324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87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  <w:t xml:space="preserve">иные источники финансирования</w:t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81" w:type="dxa"/>
            <w:textDirection w:val="lrTb"/>
            <w:noWrap w:val="false"/>
          </w:tcPr>
          <w:p>
            <w:pP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r>
            <w:r>
              <w:rPr>
                <w:rFonts w:eastAsiaTheme="minorEastAsia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96" w:type="dxa"/>
            <w:textDirection w:val="lrTb"/>
            <w:noWrap w:val="false"/>
          </w:tcPr>
          <w:p>
            <w:pP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hAnsi="PT Astra Serif" w:cs="Arial" w:eastAsiaTheme="minorEastAsia"/>
                <w:color w:val="auto"/>
                <w:sz w:val="20"/>
                <w:szCs w:val="22"/>
                <w:lang w:bidi="ar-SA"/>
              </w:rPr>
            </w:r>
            <w:r>
              <w:rPr>
                <w:rFonts w:eastAsiaTheme="minorEastAsia"/>
              </w:rPr>
            </w:r>
          </w:p>
        </w:tc>
      </w:tr>
    </w:tbl>
    <w:p>
      <w:pPr>
        <w:rPr>
          <w:rFonts w:ascii="PT Astra Serif" w:hAnsi="PT Astra Serif" w:cs="Arial" w:eastAsiaTheme="minorEastAsia"/>
          <w:color w:val="auto"/>
          <w:sz w:val="20"/>
          <w:szCs w:val="22"/>
          <w:lang w:bidi="ar-SA"/>
        </w:rPr>
      </w:pPr>
      <w:r>
        <w:rPr>
          <w:rFonts w:ascii="PT Astra Serif" w:hAnsi="PT Astra Serif" w:cs="Arial" w:eastAsiaTheme="minorEastAsia"/>
          <w:color w:val="auto"/>
          <w:sz w:val="20"/>
          <w:szCs w:val="22"/>
          <w:lang w:bidi="ar-SA"/>
        </w:rPr>
      </w:r>
      <w:r>
        <w:rPr>
          <w:rFonts w:eastAsiaTheme="minorEastAsia"/>
        </w:rPr>
      </w:r>
    </w:p>
    <w:p>
      <w:pPr>
        <w:ind w:firstLine="540"/>
        <w:jc w:val="both"/>
        <w:rPr>
          <w:rFonts w:ascii="PT Astra Serif" w:hAnsi="PT Astra Serif" w:cs="Arial" w:eastAsiaTheme="minorEastAsia"/>
          <w:color w:val="auto"/>
          <w:sz w:val="20"/>
          <w:szCs w:val="22"/>
          <w:lang w:bidi="ar-SA"/>
        </w:rPr>
      </w:pPr>
      <w:r>
        <w:rPr>
          <w:rFonts w:ascii="PT Astra Serif" w:hAnsi="PT Astra Serif" w:cs="Arial" w:eastAsiaTheme="minorEastAsia"/>
          <w:color w:val="auto"/>
          <w:sz w:val="20"/>
          <w:szCs w:val="22"/>
          <w:lang w:bidi="ar-SA"/>
        </w:rPr>
        <w:t xml:space="preserve">--------------------------------</w:t>
      </w:r>
      <w:r>
        <w:rPr>
          <w:rFonts w:eastAsiaTheme="minorEastAsia"/>
        </w:rPr>
      </w:r>
    </w:p>
    <w:p>
      <w:pPr>
        <w:ind w:firstLine="540"/>
        <w:jc w:val="both"/>
        <w:spacing w:before="200"/>
        <w:rPr>
          <w:rFonts w:ascii="PT Astra Serif" w:hAnsi="PT Astra Serif" w:cs="Arial" w:eastAsiaTheme="minorEastAsia"/>
          <w:color w:val="auto"/>
          <w:sz w:val="20"/>
          <w:szCs w:val="22"/>
          <w:lang w:bidi="ar-SA"/>
        </w:rPr>
      </w:pPr>
      <w:r>
        <w:rPr>
          <w:rFonts w:ascii="PT Astra Serif" w:hAnsi="PT Astra Serif" w:cs="Arial" w:eastAsiaTheme="minorEastAsia"/>
          <w:color w:val="auto"/>
          <w:sz w:val="20"/>
          <w:szCs w:val="22"/>
          <w:lang w:bidi="ar-SA"/>
        </w:rPr>
        <w:t xml:space="preserve">&lt;*&gt; Заполняется при наличии Комплексов процессных мероприятий</w:t>
      </w:r>
      <w:r>
        <w:rPr>
          <w:rFonts w:eastAsiaTheme="minorEastAsia"/>
        </w:rPr>
      </w:r>
    </w:p>
    <w:p>
      <w:pPr>
        <w:jc w:val="right"/>
        <w:spacing w:before="200"/>
        <w:rPr>
          <w:rFonts w:ascii="PT Astra Serif" w:hAnsi="PT Astra Serif" w:cs="Arial" w:eastAsiaTheme="minorEastAsia"/>
          <w:color w:val="auto"/>
          <w:sz w:val="28"/>
          <w:szCs w:val="22"/>
          <w:lang w:bidi="ar-SA"/>
        </w:rPr>
        <w:outlineLvl w:val="2"/>
      </w:pPr>
      <w:r>
        <w:rPr>
          <w:rFonts w:eastAsiaTheme="minorEastAsia"/>
        </w:rPr>
      </w:r>
      <w:bookmarkStart w:id="1" w:name="_GoBack"/>
      <w:r>
        <w:rPr>
          <w:rFonts w:eastAsiaTheme="minorEastAsia"/>
        </w:rPr>
      </w:r>
      <w:bookmarkEnd w:id="1"/>
      <w:r>
        <w:rPr>
          <w:rFonts w:eastAsiaTheme="minorEastAsia"/>
        </w:rPr>
      </w:r>
      <w:r>
        <w:rPr>
          <w:rFonts w:eastAsiaTheme="minorEastAsia"/>
        </w:rPr>
      </w:r>
    </w:p>
    <w:p>
      <w:pPr>
        <w:jc w:val="right"/>
        <w:spacing w:before="200"/>
        <w:rPr>
          <w:rFonts w:ascii="PT Astra Serif" w:hAnsi="PT Astra Serif" w:cs="Arial" w:eastAsiaTheme="minorEastAsia"/>
          <w:color w:val="auto"/>
          <w:sz w:val="28"/>
          <w:szCs w:val="22"/>
          <w:lang w:bidi="ar-SA"/>
        </w:rPr>
        <w:outlineLvl w:val="2"/>
      </w:pPr>
      <w:r>
        <w:rPr>
          <w:rFonts w:ascii="PT Astra Serif" w:hAnsi="PT Astra Serif" w:cs="Arial" w:eastAsiaTheme="minorEastAsia"/>
          <w:color w:val="auto"/>
          <w:sz w:val="28"/>
          <w:szCs w:val="22"/>
          <w:lang w:bidi="ar-SA"/>
        </w:rPr>
        <w:t xml:space="preserve">Таблица 2</w:t>
      </w:r>
      <w:r>
        <w:rPr>
          <w:rFonts w:eastAsiaTheme="minorEastAsia"/>
        </w:rPr>
      </w:r>
    </w:p>
    <w:p>
      <w:pPr>
        <w:rPr>
          <w:rFonts w:ascii="PT Astra Serif" w:hAnsi="PT Astra Serif" w:cs="Arial" w:eastAsiaTheme="minorEastAsia"/>
          <w:color w:val="auto"/>
          <w:sz w:val="20"/>
          <w:szCs w:val="22"/>
          <w:lang w:bidi="ar-SA"/>
        </w:rPr>
      </w:pPr>
      <w:r>
        <w:rPr>
          <w:rFonts w:ascii="PT Astra Serif" w:hAnsi="PT Astra Serif" w:cs="Arial" w:eastAsiaTheme="minorEastAsia"/>
          <w:color w:val="auto"/>
          <w:sz w:val="20"/>
          <w:szCs w:val="22"/>
          <w:lang w:bidi="ar-SA"/>
        </w:rPr>
      </w:r>
      <w:r>
        <w:rPr>
          <w:rFonts w:eastAsiaTheme="minorEastAsia"/>
        </w:rPr>
      </w:r>
    </w:p>
    <w:p>
      <w:pPr>
        <w:jc w:val="center"/>
        <w:rPr>
          <w:rFonts w:ascii="PT Astra Serif" w:hAnsi="PT Astra Serif" w:cs="Arial" w:eastAsiaTheme="minorEastAsia"/>
          <w:color w:val="auto"/>
          <w:sz w:val="20"/>
          <w:szCs w:val="22"/>
          <w:lang w:bidi="ar-SA"/>
        </w:rPr>
      </w:pPr>
      <w:r>
        <w:rPr>
          <w:rFonts w:ascii="PT Astra Serif" w:hAnsi="PT Astra Serif" w:cs="Arial" w:eastAsiaTheme="minorEastAsia"/>
          <w:color w:val="auto"/>
          <w:sz w:val="20"/>
          <w:szCs w:val="22"/>
          <w:lang w:bidi="ar-SA"/>
        </w:rPr>
        <w:t xml:space="preserve">Анализ</w:t>
      </w:r>
      <w:r>
        <w:rPr>
          <w:rFonts w:eastAsiaTheme="minorEastAsia"/>
        </w:rPr>
      </w:r>
    </w:p>
    <w:p>
      <w:pPr>
        <w:jc w:val="center"/>
        <w:rPr>
          <w:rFonts w:ascii="PT Astra Serif" w:hAnsi="PT Astra Serif" w:cs="Arial" w:eastAsiaTheme="minorEastAsia"/>
          <w:color w:val="auto"/>
          <w:sz w:val="20"/>
          <w:szCs w:val="22"/>
          <w:lang w:bidi="ar-SA"/>
        </w:rPr>
      </w:pPr>
      <w:r>
        <w:rPr>
          <w:rFonts w:ascii="PT Astra Serif" w:hAnsi="PT Astra Serif" w:cs="Arial" w:eastAsiaTheme="minorEastAsia"/>
          <w:color w:val="auto"/>
          <w:sz w:val="20"/>
          <w:szCs w:val="22"/>
          <w:lang w:bidi="ar-SA"/>
        </w:rPr>
        <w:t xml:space="preserve">целевых показателей муниципальной программы</w:t>
      </w:r>
      <w:r>
        <w:rPr>
          <w:rFonts w:eastAsiaTheme="minorEastAsia"/>
        </w:rPr>
      </w:r>
    </w:p>
    <w:p>
      <w:pPr>
        <w:jc w:val="center"/>
        <w:rPr>
          <w:rFonts w:ascii="PT Astra Serif" w:hAnsi="PT Astra Serif" w:cs="Arial" w:eastAsiaTheme="minorEastAsia"/>
          <w:color w:val="auto"/>
          <w:sz w:val="20"/>
          <w:szCs w:val="22"/>
          <w:lang w:bidi="ar-SA"/>
        </w:rPr>
      </w:pPr>
      <w:r>
        <w:rPr>
          <w:rFonts w:ascii="PT Astra Serif" w:hAnsi="PT Astra Serif" w:cs="Arial" w:eastAsiaTheme="minorEastAsia"/>
          <w:color w:val="auto"/>
          <w:sz w:val="20"/>
          <w:szCs w:val="22"/>
          <w:lang w:bidi="ar-SA"/>
        </w:rPr>
        <w:t xml:space="preserve">Развитие сельского хозяйства </w:t>
      </w:r>
      <w:r>
        <w:rPr>
          <w:rFonts w:ascii="PT Astra Serif" w:hAnsi="PT Astra Serif" w:cs="Arial" w:eastAsiaTheme="minorEastAsia"/>
          <w:color w:val="auto"/>
          <w:sz w:val="20"/>
          <w:szCs w:val="22"/>
          <w:lang w:bidi="ar-SA"/>
        </w:rPr>
        <w:t xml:space="preserve">Кимовского</w:t>
      </w:r>
      <w:r>
        <w:rPr>
          <w:rFonts w:ascii="PT Astra Serif" w:hAnsi="PT Astra Serif" w:cs="Arial" w:eastAsiaTheme="minorEastAsia"/>
          <w:color w:val="auto"/>
          <w:sz w:val="20"/>
          <w:szCs w:val="22"/>
          <w:lang w:bidi="ar-SA"/>
        </w:rPr>
        <w:t xml:space="preserve"> района</w:t>
      </w:r>
      <w:r>
        <w:rPr>
          <w:rFonts w:eastAsiaTheme="minorEastAsia"/>
        </w:rPr>
      </w:r>
    </w:p>
    <w:p>
      <w:pPr>
        <w:jc w:val="center"/>
        <w:rPr>
          <w:rFonts w:ascii="PT Astra Serif" w:hAnsi="PT Astra Serif" w:cs="Arial" w:eastAsiaTheme="minorEastAsia"/>
          <w:color w:val="auto"/>
          <w:sz w:val="20"/>
          <w:szCs w:val="22"/>
          <w:lang w:bidi="ar-SA"/>
        </w:rPr>
      </w:pPr>
      <w:r>
        <w:rPr>
          <w:rFonts w:ascii="PT Astra Serif" w:hAnsi="PT Astra Serif" w:cs="Arial" w:eastAsiaTheme="minorEastAsia"/>
          <w:color w:val="auto"/>
          <w:sz w:val="20"/>
          <w:szCs w:val="22"/>
          <w:lang w:bidi="ar-SA"/>
        </w:rPr>
        <w:t xml:space="preserve">(полное наименование муниципальной программы)</w:t>
      </w:r>
      <w:r>
        <w:rPr>
          <w:rFonts w:eastAsiaTheme="minorEastAsia"/>
        </w:rPr>
      </w:r>
    </w:p>
    <w:p>
      <w:pPr>
        <w:jc w:val="center"/>
        <w:rPr>
          <w:rFonts w:ascii="PT Astra Serif" w:hAnsi="PT Astra Serif" w:cs="Arial" w:eastAsiaTheme="minorEastAsia"/>
          <w:color w:val="auto"/>
          <w:sz w:val="20"/>
          <w:szCs w:val="22"/>
          <w:lang w:bidi="ar-SA"/>
        </w:rPr>
      </w:pPr>
      <w:r>
        <w:rPr>
          <w:rFonts w:ascii="PT Astra Serif" w:hAnsi="PT Astra Serif" w:cs="Arial" w:eastAsiaTheme="minorEastAsia"/>
          <w:color w:val="auto"/>
          <w:sz w:val="20"/>
          <w:szCs w:val="22"/>
          <w:lang w:bidi="ar-SA"/>
        </w:rPr>
        <w:t xml:space="preserve">за  </w:t>
      </w:r>
      <w:r>
        <w:rPr>
          <w:rFonts w:ascii="PT Astra Serif" w:hAnsi="PT Astra Serif" w:cs="Arial" w:eastAsiaTheme="minorEastAsia"/>
          <w:color w:val="auto"/>
          <w:sz w:val="20"/>
          <w:szCs w:val="22"/>
          <w:lang w:val="en-US" w:bidi="ar-SA"/>
        </w:rPr>
        <w:t xml:space="preserve">I</w:t>
      </w:r>
      <w:r>
        <w:rPr>
          <w:rFonts w:ascii="PT Astra Serif" w:hAnsi="PT Astra Serif" w:cs="Arial" w:eastAsiaTheme="minorEastAsia"/>
          <w:color w:val="auto"/>
          <w:sz w:val="20"/>
          <w:szCs w:val="22"/>
          <w:lang w:bidi="ar-SA"/>
        </w:rPr>
        <w:t xml:space="preserve">  квартал 2026 года</w:t>
      </w:r>
      <w:r>
        <w:rPr>
          <w:rFonts w:eastAsiaTheme="minorEastAsia"/>
        </w:rPr>
      </w:r>
    </w:p>
    <w:p>
      <w:pPr>
        <w:rPr>
          <w:rFonts w:ascii="PT Astra Serif" w:hAnsi="PT Astra Serif" w:cs="Arial" w:eastAsiaTheme="minorEastAsia"/>
          <w:color w:val="auto"/>
          <w:sz w:val="20"/>
          <w:szCs w:val="22"/>
          <w:lang w:bidi="ar-SA"/>
        </w:rPr>
      </w:pPr>
      <w:r>
        <w:rPr>
          <w:rFonts w:ascii="PT Astra Serif" w:hAnsi="PT Astra Serif" w:cs="Arial" w:eastAsiaTheme="minorEastAsia"/>
          <w:color w:val="auto"/>
          <w:sz w:val="20"/>
          <w:szCs w:val="22"/>
          <w:lang w:bidi="ar-SA"/>
        </w:rPr>
      </w:r>
      <w:r>
        <w:rPr>
          <w:rFonts w:eastAsiaTheme="minorEastAsia"/>
        </w:rPr>
      </w:r>
    </w:p>
    <w:p>
      <w:pPr>
        <w:jc w:val="right"/>
        <w:rPr>
          <w:rFonts w:ascii="Times New Roman" w:hAnsi="Times New Roman" w:cs="Times New Roman" w:eastAsia="Calibri"/>
          <w:b/>
          <w:color w:val="auto"/>
          <w:lang w:bidi="ar-SA" w:eastAsia="en-US"/>
        </w:rPr>
      </w:pPr>
      <w:r>
        <w:rPr>
          <w:rFonts w:ascii="Times New Roman" w:hAnsi="Times New Roman" w:cs="Times New Roman" w:eastAsia="Calibri" w:eastAsiaTheme="minorEastAsia"/>
          <w:b/>
          <w:color w:val="auto"/>
          <w:lang w:bidi="ar-SA" w:eastAsia="en-US"/>
        </w:rPr>
      </w:r>
      <w:r>
        <w:rPr>
          <w:rFonts w:eastAsiaTheme="minorEastAsia"/>
        </w:rPr>
      </w:r>
    </w:p>
    <w:p>
      <w:pPr>
        <w:jc w:val="center"/>
        <w:rPr>
          <w:rFonts w:ascii="Times New Roman" w:hAnsi="Times New Roman" w:cs="Times New Roman" w:eastAsia="Calibri"/>
          <w:b/>
          <w:color w:val="auto"/>
          <w:lang w:bidi="ar-SA" w:eastAsia="en-US"/>
        </w:rPr>
      </w:pPr>
      <w:r>
        <w:rPr>
          <w:rFonts w:ascii="Times New Roman" w:hAnsi="Times New Roman" w:cs="Times New Roman" w:eastAsia="Calibri" w:eastAsiaTheme="minorEastAsia"/>
          <w:b/>
          <w:color w:val="auto"/>
          <w:lang w:bidi="ar-SA" w:eastAsia="en-US"/>
        </w:rPr>
      </w:r>
      <w:r>
        <w:rPr>
          <w:rFonts w:eastAsiaTheme="minorEastAsia"/>
        </w:rPr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86"/>
        <w:gridCol w:w="3370"/>
        <w:gridCol w:w="1234"/>
        <w:gridCol w:w="1331"/>
        <w:gridCol w:w="1525"/>
        <w:gridCol w:w="1625"/>
      </w:tblGrid>
      <w:tr>
        <w:trPr>
          <w:trHeight w:val="103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7" w:type="pct"/>
            <w:textDirection w:val="lrTb"/>
            <w:noWrap w:val="false"/>
          </w:tcPr>
          <w:p>
            <w:pPr>
              <w:jc w:val="both"/>
              <w:rPr>
                <w:rFonts w:ascii="Calibri" w:hAnsi="Calibri" w:cs="Calibri" w:eastAsia="Calibri"/>
                <w:color w:val="auto"/>
                <w:sz w:val="20"/>
                <w:szCs w:val="22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z w:val="20"/>
                <w:lang w:bidi="ar-SA" w:eastAsia="en-US"/>
              </w:rPr>
              <w:t xml:space="preserve"> </w:t>
            </w: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п</w:t>
            </w: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/</w:t>
            </w: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п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62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r>
            <w:r/>
          </w:p>
          <w:p>
            <w:pPr>
              <w:jc w:val="center"/>
              <w:rPr>
                <w:rFonts w:ascii="Calibri" w:hAnsi="Calibri" w:cs="Calibri" w:eastAsia="Calibri"/>
                <w:color w:val="auto"/>
                <w:sz w:val="20"/>
                <w:szCs w:val="22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Наименование показателя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46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r>
            <w:r/>
          </w:p>
          <w:p>
            <w:pPr>
              <w:jc w:val="center"/>
              <w:rPr>
                <w:rFonts w:ascii="Calibri" w:hAnsi="Calibri" w:cs="Calibri" w:eastAsia="Calibri"/>
                <w:color w:val="auto"/>
                <w:sz w:val="20"/>
                <w:szCs w:val="22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Единица</w:t>
            </w:r>
            <w:r/>
          </w:p>
          <w:p>
            <w:pPr>
              <w:jc w:val="center"/>
              <w:rPr>
                <w:rFonts w:ascii="Calibri" w:hAnsi="Calibri" w:cs="Calibri" w:eastAsia="Calibri"/>
                <w:color w:val="auto"/>
                <w:sz w:val="20"/>
                <w:szCs w:val="22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измерения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97" w:type="pct"/>
            <w:textDirection w:val="lrTb"/>
            <w:noWrap w:val="false"/>
          </w:tcPr>
          <w:p>
            <w:pPr>
              <w:jc w:val="center"/>
              <w:rPr>
                <w:rFonts w:ascii="Calibri" w:hAnsi="Calibri" w:cs="Calibri" w:eastAsia="Calibri"/>
                <w:color w:val="auto"/>
                <w:sz w:val="20"/>
                <w:szCs w:val="22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Плановое</w:t>
            </w:r>
            <w:r/>
          </w:p>
          <w:p>
            <w:pPr>
              <w:jc w:val="center"/>
              <w:rPr>
                <w:rFonts w:ascii="Calibri" w:hAnsi="Calibri" w:cs="Calibri" w:eastAsia="Calibri"/>
                <w:color w:val="auto"/>
                <w:sz w:val="20"/>
                <w:szCs w:val="22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значение показателя на конец отчетного периода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98" w:type="pct"/>
            <w:textDirection w:val="lrTb"/>
            <w:noWrap w:val="false"/>
          </w:tcPr>
          <w:p>
            <w:pPr>
              <w:jc w:val="center"/>
              <w:rPr>
                <w:rFonts w:ascii="Calibri" w:hAnsi="Calibri" w:cs="Calibri" w:eastAsia="Calibri"/>
                <w:color w:val="auto"/>
                <w:sz w:val="20"/>
                <w:szCs w:val="22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Фактическое значение показателя на конец отчетного периода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0" w:type="pct"/>
            <w:textDirection w:val="lrTb"/>
            <w:noWrap w:val="false"/>
          </w:tcPr>
          <w:p>
            <w:pPr>
              <w:jc w:val="center"/>
              <w:rPr>
                <w:rFonts w:ascii="Calibri" w:hAnsi="Calibri" w:cs="Calibri" w:eastAsia="Calibri"/>
                <w:color w:val="auto"/>
                <w:sz w:val="20"/>
                <w:szCs w:val="22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Обоснование отклонений значений показателя на конец отчетного периода (при наличии)</w:t>
            </w:r>
            <w:r/>
          </w:p>
        </w:tc>
      </w:tr>
      <w:tr>
        <w:trPr>
          <w:trHeight w:val="609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7" w:type="pct"/>
            <w:textDirection w:val="lrTb"/>
            <w:noWrap w:val="false"/>
          </w:tcPr>
          <w:p>
            <w:pPr>
              <w:jc w:val="both"/>
              <w:rPr>
                <w:rFonts w:ascii="Calibri" w:hAnsi="Calibri" w:cs="Calibri" w:eastAsia="Calibri"/>
                <w:color w:val="auto"/>
                <w:sz w:val="20"/>
                <w:szCs w:val="22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1.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62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Среднемесячная зарплата в сельском хозяйстве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46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рублей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97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47400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98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53006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0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111,8</w:t>
            </w:r>
            <w:r/>
          </w:p>
        </w:tc>
      </w:tr>
      <w:tr>
        <w:trPr>
          <w:trHeight w:val="575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7" w:type="pct"/>
            <w:textDirection w:val="lrTb"/>
            <w:noWrap w:val="false"/>
          </w:tcPr>
          <w:p>
            <w:pPr>
              <w:jc w:val="both"/>
              <w:rPr>
                <w:rFonts w:ascii="Calibri" w:hAnsi="Calibri" w:cs="Calibri" w:eastAsia="Calibri"/>
                <w:color w:val="auto"/>
                <w:sz w:val="20"/>
                <w:szCs w:val="22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2.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62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Рентабельность сельскохозяйственных организаций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46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%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97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20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98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10 (</w:t>
            </w: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ожид</w:t>
            </w: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0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50</w:t>
            </w:r>
            <w:r/>
          </w:p>
        </w:tc>
      </w:tr>
      <w:tr>
        <w:trPr>
          <w:trHeight w:val="555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7" w:type="pct"/>
            <w:textDirection w:val="lrTb"/>
            <w:noWrap w:val="false"/>
          </w:tcPr>
          <w:p>
            <w:pPr>
              <w:jc w:val="both"/>
              <w:rPr>
                <w:rFonts w:ascii="Calibri" w:hAnsi="Calibri" w:cs="Calibri" w:eastAsia="Calibri"/>
                <w:color w:val="auto"/>
                <w:sz w:val="20"/>
                <w:szCs w:val="22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3.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62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Индекс физического объема инвестиций в основной капитал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46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%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97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101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98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120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0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118</w:t>
            </w:r>
            <w:r/>
          </w:p>
        </w:tc>
      </w:tr>
      <w:tr>
        <w:trPr>
          <w:trHeight w:val="659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7" w:type="pct"/>
            <w:textDirection w:val="lrTb"/>
            <w:noWrap w:val="false"/>
          </w:tcPr>
          <w:p>
            <w:pPr>
              <w:jc w:val="both"/>
              <w:rPr>
                <w:rFonts w:ascii="Calibri" w:hAnsi="Calibri" w:cs="Calibri" w:eastAsia="Calibri"/>
                <w:color w:val="auto"/>
                <w:sz w:val="20"/>
                <w:szCs w:val="22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4.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62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Индекс производства продукции сельского хозяйства в хозяйствах всех категорий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46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%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97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104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98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114,5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0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110</w:t>
            </w:r>
            <w:r/>
          </w:p>
        </w:tc>
      </w:tr>
      <w:tr>
        <w:trPr>
          <w:trHeight w:val="659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7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5.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62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Индекс производства продукции растениеводства в хозяйствах всех категорий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46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%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97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103,5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98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0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Пр-во июль-октябрь</w:t>
            </w:r>
            <w:r/>
          </w:p>
          <w:p>
            <w:pPr>
              <w:jc w:val="center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r>
            <w:r/>
          </w:p>
        </w:tc>
      </w:tr>
      <w:tr>
        <w:trPr>
          <w:trHeight w:val="659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7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6.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62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Индекс производства продукции животноводства в хозяйствах всех категорий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46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%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97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106,2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98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114,5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0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107,8</w:t>
            </w:r>
            <w:r/>
          </w:p>
        </w:tc>
      </w:tr>
      <w:tr>
        <w:trPr>
          <w:trHeight w:val="659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7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7.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62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Производство в хозяйствах всех категорий зерновых и зернобобовых культур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46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тыс. тонн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97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152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98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0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Пр-во июль - </w:t>
            </w: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сент</w:t>
            </w:r>
            <w:r/>
          </w:p>
        </w:tc>
      </w:tr>
      <w:tr>
        <w:trPr>
          <w:trHeight w:val="659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7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8.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62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Производство в хозяйствах всех категорий  картофеля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46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тыс. тонн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97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40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98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0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Пр</w:t>
            </w: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 – во август- </w:t>
            </w: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окт</w:t>
            </w:r>
            <w:r/>
          </w:p>
        </w:tc>
      </w:tr>
      <w:tr>
        <w:trPr>
          <w:trHeight w:val="659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7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9.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62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Производство в хозяйствах всех категорий овощей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46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тыс. тонн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97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5,0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98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0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Пр</w:t>
            </w: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 – во август- </w:t>
            </w: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окт</w:t>
            </w:r>
            <w:r/>
          </w:p>
        </w:tc>
      </w:tr>
      <w:tr>
        <w:trPr>
          <w:trHeight w:val="659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7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10.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62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Производство в хозяйствах всех категорий скота и птицы на убой в живом весе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46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тонн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97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1550 годовой, 230 –</w:t>
            </w:r>
            <w:r>
              <w:rPr>
                <w:rFonts w:ascii="Times New Roman" w:hAnsi="Times New Roman" w:cs="Times New Roman" w:eastAsia="Calibri"/>
                <w:color w:val="auto"/>
                <w:sz w:val="20"/>
                <w:lang w:val="en-US" w:bidi="ar-SA" w:eastAsia="en-US"/>
              </w:rPr>
              <w:t xml:space="preserve"> 1</w:t>
            </w: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кв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98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230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0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100</w:t>
            </w:r>
            <w:r/>
          </w:p>
        </w:tc>
      </w:tr>
      <w:tr>
        <w:trPr>
          <w:trHeight w:val="659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7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11.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62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Производство в хозяйствах всех категорий молока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46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тонн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97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2860 годовой, 330 </w:t>
            </w:r>
            <w:r>
              <w:rPr>
                <w:rFonts w:ascii="Times New Roman" w:hAnsi="Times New Roman" w:cs="Times New Roman" w:eastAsia="Calibri"/>
                <w:color w:val="auto"/>
                <w:sz w:val="20"/>
                <w:lang w:val="en-US" w:bidi="ar-SA" w:eastAsia="en-US"/>
              </w:rPr>
              <w:t xml:space="preserve">– I </w:t>
            </w: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кв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98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321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0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</w:pPr>
            <w:r>
              <w:rPr>
                <w:rFonts w:ascii="Times New Roman" w:hAnsi="Times New Roman" w:cs="Times New Roman" w:eastAsia="Calibri"/>
                <w:color w:val="auto"/>
                <w:sz w:val="20"/>
                <w:lang w:bidi="ar-SA" w:eastAsia="en-US"/>
              </w:rPr>
              <w:t xml:space="preserve">97,2</w:t>
            </w:r>
            <w:r/>
          </w:p>
        </w:tc>
      </w:tr>
    </w:tbl>
    <w:p>
      <w:pPr>
        <w:rPr>
          <w:rFonts w:ascii="PT Astra Serif" w:hAnsi="PT Astra Serif" w:cs="Arial" w:eastAsiaTheme="minorEastAsia"/>
          <w:color w:val="auto"/>
          <w:sz w:val="20"/>
          <w:szCs w:val="22"/>
          <w:lang w:bidi="ar-SA"/>
        </w:rPr>
      </w:pPr>
      <w:r>
        <w:rPr>
          <w:rFonts w:ascii="PT Astra Serif" w:hAnsi="PT Astra Serif" w:cs="Arial" w:eastAsiaTheme="minorEastAsia"/>
          <w:color w:val="auto"/>
          <w:sz w:val="20"/>
          <w:szCs w:val="22"/>
          <w:lang w:bidi="ar-SA"/>
        </w:rPr>
      </w:r>
      <w:r>
        <w:rPr>
          <w:rFonts w:eastAsiaTheme="minorEastAsia"/>
        </w:rPr>
      </w:r>
    </w:p>
    <w:p>
      <w:pPr>
        <w:rPr>
          <w:rFonts w:ascii="PT Astra Serif" w:hAnsi="PT Astra Serif" w:cs="Arial" w:eastAsiaTheme="minorEastAsia"/>
          <w:color w:val="auto"/>
          <w:sz w:val="20"/>
          <w:szCs w:val="22"/>
          <w:lang w:bidi="ar-SA"/>
        </w:rPr>
      </w:pPr>
      <w:r>
        <w:rPr>
          <w:rFonts w:ascii="PT Astra Serif" w:hAnsi="PT Astra Serif" w:cs="Arial" w:eastAsiaTheme="minorEastAsia"/>
          <w:color w:val="auto"/>
          <w:sz w:val="20"/>
          <w:szCs w:val="22"/>
          <w:lang w:bidi="ar-SA"/>
        </w:rPr>
      </w:r>
      <w:r>
        <w:rPr>
          <w:rFonts w:eastAsiaTheme="minorEastAsia"/>
        </w:rPr>
      </w:r>
    </w:p>
    <w:p>
      <w:pPr>
        <w:jc w:val="center"/>
        <w:rPr>
          <w:rFonts w:ascii="PT Astra Serif" w:hAnsi="PT Astra Serif" w:cs="Arial" w:eastAsiaTheme="minorEastAsia"/>
          <w:color w:val="auto"/>
          <w:sz w:val="20"/>
          <w:szCs w:val="22"/>
          <w:lang w:bidi="ar-SA"/>
        </w:rPr>
      </w:pPr>
      <w:r>
        <w:rPr>
          <w:rFonts w:ascii="PT Astra Serif" w:hAnsi="PT Astra Serif" w:cs="Arial" w:eastAsiaTheme="minorEastAsia"/>
          <w:color w:val="auto"/>
          <w:sz w:val="20"/>
          <w:szCs w:val="22"/>
          <w:lang w:bidi="ar-SA"/>
        </w:rPr>
        <w:t xml:space="preserve">______________________________</w:t>
      </w:r>
      <w:r>
        <w:rPr>
          <w:rFonts w:eastAsiaTheme="minorEastAsia"/>
        </w:rPr>
      </w:r>
    </w:p>
    <w:p>
      <w:pPr>
        <w:pStyle w:val="603"/>
        <w:ind w:right="561" w:firstLine="709"/>
        <w:jc w:val="left"/>
        <w:spacing w:lineRule="exact" w:line="274" w:after="0" w:before="0"/>
        <w:shd w:val="clear" w:fill="auto" w:color="auto"/>
        <w:rPr>
          <w:rFonts w:ascii="PT Astra Serif" w:hAnsi="PT Astra Serif"/>
          <w:sz w:val="28"/>
          <w:lang w:bidi="ru-RU"/>
        </w:rPr>
      </w:pPr>
      <w:r>
        <w:rPr>
          <w:rFonts w:ascii="PT Astra Serif" w:hAnsi="PT Astra Serif" w:eastAsiaTheme="minorEastAsia"/>
          <w:sz w:val="28"/>
        </w:rPr>
        <w:t xml:space="preserve">Оценка степени достижения целей и решения задач муниципальной программы «Развитие сельского хозяйства </w:t>
      </w:r>
      <w:r>
        <w:rPr>
          <w:rFonts w:ascii="PT Astra Serif" w:hAnsi="PT Astra Serif" w:eastAsiaTheme="minorEastAsia"/>
          <w:sz w:val="28"/>
        </w:rPr>
        <w:t xml:space="preserve">Кимовского</w:t>
      </w:r>
      <w:r>
        <w:rPr>
          <w:rFonts w:ascii="PT Astra Serif" w:hAnsi="PT Astra Serif" w:eastAsiaTheme="minorEastAsia"/>
          <w:sz w:val="28"/>
        </w:rPr>
        <w:t xml:space="preserve"> района» определяется:</w:t>
      </w:r>
      <w:r>
        <w:rPr>
          <w:rFonts w:eastAsiaTheme="minorEastAsia"/>
        </w:rPr>
      </w:r>
    </w:p>
    <w:p>
      <w:pPr>
        <w:pStyle w:val="603"/>
        <w:ind w:right="561" w:firstLine="709"/>
        <w:jc w:val="left"/>
        <w:spacing w:lineRule="exact" w:line="274" w:after="0" w:before="0"/>
        <w:shd w:val="clear" w:fill="auto" w:color="auto"/>
        <w:rPr>
          <w:rFonts w:ascii="PT Astra Serif" w:hAnsi="PT Astra Serif"/>
          <w:sz w:val="28"/>
        </w:rPr>
      </w:pPr>
      <w:r>
        <w:rPr>
          <w:rFonts w:ascii="PT Astra Serif" w:hAnsi="PT Astra Serif" w:eastAsiaTheme="minorEastAsia"/>
          <w:sz w:val="28"/>
        </w:rPr>
        <w:t xml:space="preserve">СДЦ = (111,8+50+118+110+107,8+100+97,2)=694,8/7=99,3</w:t>
      </w:r>
      <w:r>
        <w:rPr>
          <w:rFonts w:eastAsiaTheme="minorEastAsia"/>
        </w:rPr>
      </w:r>
    </w:p>
    <w:p>
      <w:pPr>
        <w:pStyle w:val="603"/>
        <w:ind w:right="561" w:firstLine="709"/>
        <w:jc w:val="both"/>
        <w:spacing w:lineRule="exact" w:line="274" w:after="0" w:before="0"/>
        <w:shd w:val="clear" w:fill="auto" w:color="auto"/>
        <w:rPr>
          <w:rFonts w:ascii="PT Astra Serif" w:hAnsi="PT Astra Serif"/>
          <w:sz w:val="28"/>
        </w:rPr>
      </w:pPr>
      <w:r>
        <w:rPr>
          <w:rFonts w:ascii="PT Astra Serif" w:hAnsi="PT Astra Serif" w:eastAsiaTheme="minorEastAsia"/>
          <w:sz w:val="28"/>
        </w:rPr>
        <w:t xml:space="preserve">Итоги реализации программы за первый квартал 2026 года признаются положительными, программа рекомендована к дальнейшей реализации</w:t>
      </w:r>
      <w:r>
        <w:rPr>
          <w:rFonts w:eastAsiaTheme="minorEastAsia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/>
      <w:r>
        <w:separator/>
      </w:r>
      <w:r/>
    </w:p>
  </w:endnote>
  <w:endnote w:type="continuationSeparator" w:id="0">
    <w:p>
      <w:pPr>
        <w:spacing w:lineRule="auto" w:line="240" w:after="0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Tahoma">
    <w:panose1 w:val="020B06040305040402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598"/>
    <w:next w:val="598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59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598"/>
    <w:next w:val="598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59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598"/>
    <w:next w:val="598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59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598"/>
    <w:next w:val="598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59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598"/>
    <w:next w:val="598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59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598"/>
    <w:next w:val="598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59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598"/>
    <w:next w:val="598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59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598"/>
    <w:next w:val="598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59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598"/>
    <w:next w:val="598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59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598"/>
    <w:qFormat/>
    <w:uiPriority w:val="34"/>
    <w:pPr>
      <w:contextualSpacing w:val="true"/>
      <w:ind w:left="720"/>
    </w:p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598"/>
    <w:next w:val="598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599"/>
    <w:link w:val="32"/>
    <w:uiPriority w:val="10"/>
    <w:rPr>
      <w:sz w:val="48"/>
      <w:szCs w:val="48"/>
    </w:rPr>
  </w:style>
  <w:style w:type="paragraph" w:styleId="34">
    <w:name w:val="Subtitle"/>
    <w:basedOn w:val="598"/>
    <w:next w:val="598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599"/>
    <w:link w:val="34"/>
    <w:uiPriority w:val="11"/>
    <w:rPr>
      <w:sz w:val="24"/>
      <w:szCs w:val="24"/>
    </w:rPr>
  </w:style>
  <w:style w:type="paragraph" w:styleId="36">
    <w:name w:val="Quote"/>
    <w:basedOn w:val="598"/>
    <w:next w:val="598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598"/>
    <w:next w:val="598"/>
    <w:link w:val="39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598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599"/>
    <w:link w:val="40"/>
    <w:uiPriority w:val="99"/>
  </w:style>
  <w:style w:type="paragraph" w:styleId="42">
    <w:name w:val="Footer"/>
    <w:basedOn w:val="598"/>
    <w:link w:val="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599"/>
    <w:link w:val="42"/>
    <w:uiPriority w:val="99"/>
  </w:style>
  <w:style w:type="paragraph" w:styleId="44">
    <w:name w:val="Caption"/>
    <w:basedOn w:val="598"/>
    <w:next w:val="59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600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60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0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00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60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60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FillTint="EA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60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60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FE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60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60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60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text1" w:themeFillTint="40" w:themeColor="text1" w:themeTint="40"/>
    </w:tblPr>
    <w:tblStylePr w:type="band1Horz">
      <w:tcPr>
        <w:shd w:val="clear" w:color="FFFFFF" w:themeFill="text1" w:themeFillTint="75" w:themeColor="text1" w:themeTint="75"/>
      </w:tcPr>
    </w:tblStylePr>
    <w:tblStylePr w:type="band1Vert">
      <w:tcPr>
        <w:shd w:val="clear" w:color="FFFFFF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1" w:themeFillTint="34" w:themeColor="accent1" w:themeTint="34"/>
    </w:tblPr>
    <w:tblStylePr w:type="band1Horz">
      <w:tcPr>
        <w:shd w:val="clear" w:color="FFFFFF" w:themeFill="accent1" w:themeFillTint="75" w:themeColor="accent1" w:themeTint="75"/>
      </w:tcPr>
    </w:tblStylePr>
    <w:tblStylePr w:type="band1Vert">
      <w:tcPr>
        <w:shd w:val="clear" w:color="FFFFFF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1" w:themeColor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2" w:themeFillTint="32" w:themeColor="accent2" w:themeTint="32"/>
    </w:tblPr>
    <w:tblStylePr w:type="band1Horz">
      <w:tcPr>
        <w:shd w:val="clear" w:color="FFFFFF" w:themeFill="accent2" w:themeFillTint="75" w:themeColor="accent2" w:themeTint="75"/>
      </w:tcPr>
    </w:tblStylePr>
    <w:tblStylePr w:type="band1Vert">
      <w:tcPr>
        <w:shd w:val="clear" w:color="FFFFFF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2" w:themeColor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3" w:themeFillTint="34" w:themeColor="accent3" w:themeTint="34"/>
    </w:tblPr>
    <w:tblStylePr w:type="band1Horz">
      <w:tcPr>
        <w:shd w:val="clear" w:color="FFFFFF" w:themeFill="accent3" w:themeFillTint="75" w:themeColor="accent3" w:themeTint="75"/>
      </w:tcPr>
    </w:tblStylePr>
    <w:tblStylePr w:type="band1Vert">
      <w:tcPr>
        <w:shd w:val="clear" w:color="FFFFFF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3" w:themeColor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4" w:themeFillTint="34" w:themeColor="accent4" w:themeTint="34"/>
    </w:tblPr>
    <w:tblStylePr w:type="band1Horz">
      <w:tcPr>
        <w:shd w:val="clear" w:color="FFFFFF" w:themeFill="accent4" w:themeFillTint="75" w:themeColor="accent4" w:themeTint="75"/>
      </w:tcPr>
    </w:tblStylePr>
    <w:tblStylePr w:type="band1Vert">
      <w:tcPr>
        <w:shd w:val="clear" w:color="FFFFFF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4" w:themeColor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5" w:themeFillTint="34" w:themeColor="accent5" w:themeTint="34"/>
    </w:tblPr>
    <w:tblStylePr w:type="band1Horz">
      <w:tcPr>
        <w:shd w:val="clear" w:color="FFFFFF" w:themeFill="accent5" w:themeFillTint="75" w:themeColor="accent5" w:themeTint="75"/>
      </w:tcPr>
    </w:tblStylePr>
    <w:tblStylePr w:type="band1Vert">
      <w:tcPr>
        <w:shd w:val="clear" w:color="FFFFFF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6" w:themeFillTint="34" w:themeColor="accent6" w:themeTint="34"/>
    </w:tblPr>
    <w:tblStylePr w:type="band1Horz">
      <w:tcPr>
        <w:shd w:val="clear" w:color="FFFFFF" w:themeFill="accent6" w:themeFillTint="75" w:themeColor="accent6" w:themeTint="75"/>
      </w:tcPr>
    </w:tblStylePr>
    <w:tblStylePr w:type="band1Vert">
      <w:tcPr>
        <w:shd w:val="clear" w:color="FFFFFF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Fill="text1" w:themeFillTint="34" w:themeColor="text1" w:themeTint="34"/>
      </w:tcPr>
    </w:tblStylePr>
    <w:tblStylePr w:type="band1Vert">
      <w:tcPr>
        <w:shd w:val="clear" w:color="FFFFFF" w:themeFill="text1" w:themeFillTint="34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Fill="text1" w:themeFillTint="80" w:themeColor="text1" w:themeTint="80"/>
    </w:tblPr>
    <w:tblStylePr w:type="band1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text1" w:themeFillTint="80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text1" w:themeFillTint="80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Fill="accent1" w:themeColor="accent1"/>
    </w:tblPr>
    <w:tblStylePr w:type="band1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1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1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Fill="accent2" w:themeFillTint="97" w:themeColor="accent2" w:themeTint="97"/>
    </w:tblPr>
    <w:tblStylePr w:type="band1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2" w:themeFillTint="97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2" w:themeFillTint="97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Fill="accent3" w:themeFillTint="98" w:themeColor="accent3" w:themeTint="98"/>
    </w:tblPr>
    <w:tblStylePr w:type="band1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3" w:themeFillTint="98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3" w:themeFillTint="98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Fill="accent4" w:themeFillTint="9A" w:themeColor="accent4" w:themeTint="9A"/>
    </w:tblPr>
    <w:tblStylePr w:type="band1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4" w:themeFillTint="9A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4" w:themeFillTint="9A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Fill="accent5" w:themeFillTint="9A" w:themeColor="accent5" w:themeTint="9A"/>
    </w:tblPr>
    <w:tblStylePr w:type="band1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5" w:themeFillTint="9A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5" w:themeFillTint="9A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Fill="accent6" w:themeFillTint="98" w:themeColor="accent6" w:themeTint="98"/>
    </w:tblPr>
    <w:tblStylePr w:type="band1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6" w:themeFillTint="98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6" w:themeFillTint="98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60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2">
    <w:name w:val="Lined - Accent 1"/>
    <w:basedOn w:val="60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53">
    <w:name w:val="Lined - Accent 2"/>
    <w:basedOn w:val="60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54">
    <w:name w:val="Lined - Accent 3"/>
    <w:basedOn w:val="60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55">
    <w:name w:val="Lined - Accent 4"/>
    <w:basedOn w:val="60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56">
    <w:name w:val="Lined - Accent 5"/>
    <w:basedOn w:val="60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57">
    <w:name w:val="Lined - Accent 6"/>
    <w:basedOn w:val="60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58">
    <w:name w:val="Bordered &amp; Lined - Accent"/>
    <w:basedOn w:val="60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9">
    <w:name w:val="Bordered &amp; Lined - Accent 1"/>
    <w:basedOn w:val="60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60">
    <w:name w:val="Bordered &amp; Lined - Accent 2"/>
    <w:basedOn w:val="60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61">
    <w:name w:val="Bordered &amp; Lined - Accent 3"/>
    <w:basedOn w:val="60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62">
    <w:name w:val="Bordered &amp; Lined - Accent 4"/>
    <w:basedOn w:val="60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63">
    <w:name w:val="Bordered &amp; Lined - Accent 5"/>
    <w:basedOn w:val="60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64">
    <w:name w:val="Bordered &amp; Lined - Accent 6"/>
    <w:basedOn w:val="60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65">
    <w:name w:val="Bordered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173">
    <w:name w:val="footnote text"/>
    <w:basedOn w:val="598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599"/>
    <w:uiPriority w:val="99"/>
    <w:unhideWhenUsed/>
    <w:rPr>
      <w:vertAlign w:val="superscript"/>
    </w:rPr>
  </w:style>
  <w:style w:type="paragraph" w:styleId="176">
    <w:name w:val="endnote text"/>
    <w:basedOn w:val="598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599"/>
    <w:uiPriority w:val="99"/>
    <w:semiHidden/>
    <w:unhideWhenUsed/>
    <w:rPr>
      <w:vertAlign w:val="superscript"/>
    </w:rPr>
  </w:style>
  <w:style w:type="paragraph" w:styleId="179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rPr>
      <w:rFonts w:ascii="Tahoma" w:hAnsi="Tahoma" w:cs="Tahoma" w:eastAsia="Tahoma"/>
      <w:color w:val="000000"/>
      <w:sz w:val="24"/>
      <w:szCs w:val="24"/>
      <w:lang w:bidi="ru-RU" w:eastAsia="ru-RU"/>
    </w:rPr>
    <w:pPr>
      <w:spacing w:lineRule="auto" w:line="240" w:after="0"/>
      <w:widowControl w:val="off"/>
    </w:pPr>
  </w:style>
  <w:style w:type="character" w:styleId="599" w:default="1">
    <w:name w:val="Default Paragraph Font"/>
    <w:uiPriority w:val="1"/>
    <w:semiHidden/>
    <w:unhideWhenUsed/>
  </w:style>
  <w:style w:type="table" w:styleId="600" w:default="1">
    <w:name w:val="Normal Table"/>
    <w:qFormat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1" w:default="1">
    <w:name w:val="No List"/>
    <w:uiPriority w:val="99"/>
    <w:semiHidden/>
    <w:unhideWhenUsed/>
  </w:style>
  <w:style w:type="character" w:styleId="602" w:customStyle="1">
    <w:name w:val="Основной текст (7)_"/>
    <w:basedOn w:val="599"/>
    <w:link w:val="603"/>
    <w:rPr>
      <w:rFonts w:ascii="Times New Roman" w:hAnsi="Times New Roman" w:cs="Times New Roman" w:eastAsia="Times New Roman"/>
      <w:shd w:val="clear" w:fill="FFFFFF" w:color="auto"/>
    </w:rPr>
  </w:style>
  <w:style w:type="paragraph" w:styleId="603" w:customStyle="1">
    <w:name w:val="Основной текст (7)"/>
    <w:basedOn w:val="598"/>
    <w:link w:val="602"/>
    <w:rPr>
      <w:rFonts w:ascii="Times New Roman" w:hAnsi="Times New Roman" w:cs="Times New Roman" w:eastAsia="Times New Roman"/>
      <w:color w:val="auto"/>
      <w:sz w:val="22"/>
      <w:szCs w:val="22"/>
      <w:lang w:bidi="ar-SA" w:eastAsia="en-US"/>
    </w:rPr>
    <w:pPr>
      <w:jc w:val="right"/>
      <w:spacing w:lineRule="exact" w:line="278" w:after="360" w:before="1620"/>
      <w:shd w:val="clear" w:fill="FFFFFF" w:color="auto"/>
    </w:pPr>
  </w:style>
  <w:style w:type="character" w:styleId="604">
    <w:name w:val="Hyperlink"/>
    <w:uiPriority w:val="99"/>
    <w:semiHidden/>
    <w:unhideWhenUsed/>
    <w:rPr>
      <w:color w:val="0000FF"/>
      <w:u w:val="single"/>
    </w:rPr>
  </w:style>
  <w:style w:type="character" w:styleId="605" w:customStyle="1">
    <w:name w:val="Основной текст (4)_"/>
    <w:link w:val="606"/>
    <w:uiPriority w:val="99"/>
    <w:rPr>
      <w:rFonts w:ascii="Times New Roman" w:hAnsi="Times New Roman" w:cs="Times New Roman"/>
      <w:b/>
      <w:bCs/>
      <w:shd w:val="clear" w:fill="FFFFFF" w:color="auto"/>
    </w:rPr>
  </w:style>
  <w:style w:type="paragraph" w:styleId="606" w:customStyle="1">
    <w:name w:val="Основной текст (4)"/>
    <w:basedOn w:val="598"/>
    <w:link w:val="605"/>
    <w:uiPriority w:val="99"/>
    <w:rPr>
      <w:rFonts w:ascii="Times New Roman" w:hAnsi="Times New Roman" w:cs="Times New Roman" w:eastAsiaTheme="minorHAnsi"/>
      <w:b/>
      <w:bCs/>
      <w:color w:val="auto"/>
      <w:sz w:val="22"/>
      <w:szCs w:val="22"/>
      <w:lang w:bidi="ar-SA" w:eastAsia="en-US"/>
    </w:rPr>
    <w:pPr>
      <w:ind w:hanging="1320"/>
      <w:jc w:val="right"/>
      <w:spacing w:lineRule="atLeast" w:line="240" w:after="900" w:before="360"/>
      <w:shd w:val="clear" w:fill="FFFFFF" w:color="auto"/>
    </w:pPr>
  </w:style>
  <w:style w:type="character" w:styleId="607" w:customStyle="1">
    <w:name w:val="Основной текст (2)_"/>
    <w:link w:val="608"/>
    <w:uiPriority w:val="99"/>
    <w:rPr>
      <w:rFonts w:ascii="Times New Roman" w:hAnsi="Times New Roman" w:cs="Times New Roman"/>
      <w:shd w:val="clear" w:fill="FFFFFF" w:color="auto"/>
    </w:rPr>
  </w:style>
  <w:style w:type="paragraph" w:styleId="608" w:customStyle="1">
    <w:name w:val="Основной текст (2)"/>
    <w:basedOn w:val="598"/>
    <w:link w:val="607"/>
    <w:uiPriority w:val="99"/>
    <w:rPr>
      <w:rFonts w:ascii="Times New Roman" w:hAnsi="Times New Roman" w:cs="Times New Roman" w:eastAsiaTheme="minorHAnsi"/>
      <w:color w:val="auto"/>
      <w:sz w:val="22"/>
      <w:szCs w:val="22"/>
      <w:lang w:bidi="ar-SA" w:eastAsia="en-US"/>
    </w:rPr>
    <w:pPr>
      <w:ind w:hanging="360"/>
      <w:jc w:val="both"/>
      <w:spacing w:lineRule="exact" w:line="274" w:before="360"/>
      <w:shd w:val="clear" w:fill="FFFFFF" w:color="auto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Р7-Офис/6.4.2.28</Application>
  <Company>Reanimator Extreme Edition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Медведева</dc:creator>
  <cp:revision>5</cp:revision>
  <dcterms:created xsi:type="dcterms:W3CDTF">2026-02-09T13:33:00Z</dcterms:created>
  <dcterms:modified xsi:type="dcterms:W3CDTF">2026-04-29T09:48:00Z</dcterms:modified>
</cp:coreProperties>
</file>